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06019C" w:rsidP="00D82E21">
                                <w:pPr>
                                  <w:rPr>
                                    <w:rFonts w:ascii="Arial" w:hAnsi="Arial" w:cs="Arial"/>
                                  </w:rPr>
                                </w:pPr>
                                <w:r>
                                  <w:rPr>
                                    <w:rFonts w:ascii="Arial" w:hAnsi="Arial" w:cs="Arial"/>
                                    <w:b/>
                                  </w:rPr>
                                  <w:t xml:space="preserve">April </w:t>
                                </w:r>
                                <w:r w:rsidR="008A5377">
                                  <w:rPr>
                                    <w:rFonts w:ascii="Arial" w:hAnsi="Arial" w:cs="Arial"/>
                                    <w:b/>
                                  </w:rPr>
                                  <w:t>21</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06019C" w:rsidP="00D82E21">
                          <w:pPr>
                            <w:rPr>
                              <w:rFonts w:ascii="Arial" w:hAnsi="Arial" w:cs="Arial"/>
                            </w:rPr>
                          </w:pPr>
                          <w:r>
                            <w:rPr>
                              <w:rFonts w:ascii="Arial" w:hAnsi="Arial" w:cs="Arial"/>
                              <w:b/>
                            </w:rPr>
                            <w:t xml:space="preserve">April </w:t>
                          </w:r>
                          <w:r w:rsidR="008A5377">
                            <w:rPr>
                              <w:rFonts w:ascii="Arial" w:hAnsi="Arial" w:cs="Arial"/>
                              <w:b/>
                            </w:rPr>
                            <w:t>21</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A8393A" w:rsidRPr="00A8393A">
        <w:rPr>
          <w:rFonts w:ascii="Arial" w:hAnsi="Arial" w:cs="Arial"/>
          <w:sz w:val="20"/>
          <w:szCs w:val="20"/>
        </w:rPr>
        <w:t>ASG (Bethany Day), Dustin Bare, Nora Brodnicki, Rick Carino, Elizabeth Carney, Amanda Coffey, Megan Feagles (Recorder), Bev Forney, Sharron Furno, Sue Goff, Erin Gravelle, Dawn Hendricks, Kerrie Hughes (Chair), Jason Kovac, Eric Lee, Mike Mattson, Patricia McFarland, Tracy Nelson, David Plotkin, Lisa Reynolds, Terrie Sanne, Charles Siegfried, Casey Sims, Chris Sweet, Sarah Steidl, Dru Urbassik, Andrea Vergun, Helen Wand,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A8393A" w:rsidRPr="00A8393A">
        <w:rPr>
          <w:rFonts w:ascii="Arial" w:hAnsi="Arial" w:cs="Arial"/>
          <w:sz w:val="20"/>
          <w:szCs w:val="20"/>
        </w:rPr>
        <w:t>Hillary Abbott, George Burgess, Armetta Burney, Kara Leonard, Tara Sprehe</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8A5377">
        <w:rPr>
          <w:rFonts w:ascii="Arial" w:hAnsi="Arial" w:cs="Arial"/>
          <w:sz w:val="20"/>
        </w:rPr>
        <w:t>April</w:t>
      </w:r>
      <w:r w:rsidR="00245663">
        <w:rPr>
          <w:rFonts w:ascii="Arial" w:hAnsi="Arial" w:cs="Arial"/>
          <w:sz w:val="20"/>
        </w:rPr>
        <w:t xml:space="preserve"> </w:t>
      </w:r>
      <w:r w:rsidR="0006019C">
        <w:rPr>
          <w:rFonts w:ascii="Arial" w:hAnsi="Arial" w:cs="Arial"/>
          <w:sz w:val="20"/>
        </w:rPr>
        <w:t>7</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EA721E" w:rsidRDefault="00EA721E" w:rsidP="00EA721E">
      <w:pPr>
        <w:pStyle w:val="ListParagraph"/>
        <w:numPr>
          <w:ilvl w:val="1"/>
          <w:numId w:val="1"/>
        </w:numPr>
        <w:rPr>
          <w:rFonts w:ascii="Arial" w:hAnsi="Arial" w:cs="Arial"/>
          <w:b/>
          <w:sz w:val="20"/>
        </w:rPr>
      </w:pPr>
      <w:bookmarkStart w:id="0" w:name="_Hlk56415892"/>
      <w:r w:rsidRPr="00EA721E">
        <w:rPr>
          <w:rFonts w:ascii="Arial" w:hAnsi="Arial" w:cs="Arial"/>
          <w:b/>
          <w:sz w:val="20"/>
        </w:rPr>
        <w:t>Related Instruction</w:t>
      </w:r>
    </w:p>
    <w:p w:rsidR="00EA721E" w:rsidRPr="00662832" w:rsidRDefault="00B91CCB" w:rsidP="00EA721E">
      <w:pPr>
        <w:pStyle w:val="ListParagraph"/>
        <w:numPr>
          <w:ilvl w:val="2"/>
          <w:numId w:val="1"/>
        </w:numPr>
        <w:rPr>
          <w:rFonts w:ascii="Arial" w:hAnsi="Arial" w:cs="Arial"/>
          <w:sz w:val="20"/>
        </w:rPr>
      </w:pPr>
      <w:r w:rsidRPr="00662832">
        <w:rPr>
          <w:rFonts w:ascii="Arial" w:hAnsi="Arial" w:cs="Arial"/>
          <w:sz w:val="20"/>
        </w:rPr>
        <w:t>The Related Instruction Sub-Committee has reviewed the following courses and recommends they continue to be approved for Related Instruction in the listed areas:</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316E03" w:rsidRPr="00B6431D" w:rsidTr="00B916F7">
        <w:trPr>
          <w:trHeight w:hRule="exact" w:val="283"/>
        </w:trPr>
        <w:tc>
          <w:tcPr>
            <w:tcW w:w="1795" w:type="dxa"/>
            <w:shd w:val="clear" w:color="auto" w:fill="212C65"/>
            <w:vAlign w:val="bottom"/>
          </w:tcPr>
          <w:p w:rsidR="00316E03" w:rsidRPr="00B6431D" w:rsidRDefault="00316E03" w:rsidP="00B916F7">
            <w:pPr>
              <w:rPr>
                <w:rFonts w:ascii="Arial" w:hAnsi="Arial" w:cs="Arial"/>
                <w:b/>
                <w:sz w:val="20"/>
                <w:szCs w:val="20"/>
              </w:rPr>
            </w:pPr>
            <w:r w:rsidRPr="00B6431D">
              <w:rPr>
                <w:rFonts w:ascii="Arial" w:hAnsi="Arial" w:cs="Arial"/>
                <w:b/>
                <w:sz w:val="20"/>
                <w:szCs w:val="20"/>
              </w:rPr>
              <w:t>Course Number</w:t>
            </w:r>
          </w:p>
        </w:tc>
        <w:tc>
          <w:tcPr>
            <w:tcW w:w="4410" w:type="dxa"/>
            <w:shd w:val="clear" w:color="auto" w:fill="212C65"/>
            <w:vAlign w:val="bottom"/>
          </w:tcPr>
          <w:p w:rsidR="00316E03" w:rsidRPr="00B6431D" w:rsidRDefault="00316E03" w:rsidP="00B916F7">
            <w:pPr>
              <w:rPr>
                <w:rFonts w:ascii="Arial" w:hAnsi="Arial" w:cs="Arial"/>
                <w:b/>
                <w:sz w:val="20"/>
                <w:szCs w:val="20"/>
              </w:rPr>
            </w:pPr>
            <w:r w:rsidRPr="00B6431D">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316E03" w:rsidRPr="00B6431D" w:rsidTr="00B916F7">
              <w:trPr>
                <w:trHeight w:val="283"/>
              </w:trPr>
              <w:tc>
                <w:tcPr>
                  <w:tcW w:w="3241" w:type="dxa"/>
                  <w:tcBorders>
                    <w:top w:val="nil"/>
                    <w:left w:val="nil"/>
                    <w:bottom w:val="nil"/>
                    <w:right w:val="nil"/>
                  </w:tcBorders>
                  <w:shd w:val="clear" w:color="auto" w:fill="212C65"/>
                  <w:vAlign w:val="center"/>
                  <w:hideMark/>
                </w:tcPr>
                <w:p w:rsidR="00316E03" w:rsidRPr="00B6431D" w:rsidRDefault="00316E03" w:rsidP="00B916F7">
                  <w:pPr>
                    <w:rPr>
                      <w:rFonts w:ascii="Arial" w:hAnsi="Arial" w:cs="Arial"/>
                      <w:b/>
                      <w:sz w:val="20"/>
                      <w:szCs w:val="20"/>
                    </w:rPr>
                  </w:pPr>
                  <w:r w:rsidRPr="00B6431D">
                    <w:rPr>
                      <w:rFonts w:ascii="Arial" w:hAnsi="Arial" w:cs="Arial"/>
                      <w:b/>
                      <w:sz w:val="20"/>
                      <w:szCs w:val="20"/>
                    </w:rPr>
                    <w:t>Related Instruction Area</w:t>
                  </w:r>
                </w:p>
              </w:tc>
            </w:tr>
          </w:tbl>
          <w:p w:rsidR="00316E03" w:rsidRPr="00B6431D" w:rsidRDefault="00316E03" w:rsidP="00B916F7">
            <w:pPr>
              <w:rPr>
                <w:rFonts w:ascii="Arial" w:hAnsi="Arial" w:cs="Arial"/>
                <w:b/>
                <w:sz w:val="20"/>
                <w:szCs w:val="20"/>
              </w:rPr>
            </w:pP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BA-285</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Human Relations in Business</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Human Relations</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COMM-100Z</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Introduction to Communication</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Human Relations</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COMM-218Z</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Interpersonal Communication</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Human Relations</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HE-249</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Mental Health</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Physical Education/Health</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HE-252</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First Aid/CPR/AED</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Physical Education/Health</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HS-156</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Conducting Human Service Interviews</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Human Relations</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MTH-065</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Algebra II</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Computation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MTH-095</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Algebra III</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Computation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MTH-105Z</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Math in Society</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Computation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MTH-111Z</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Precalculus I: Functions</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Computation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MTH-112Z</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Precalculus II: Trigonometry</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Computation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MTH-254</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Vector Calculus</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Computation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MTH-261</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Linear Algebra</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Computation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PE-294A</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Philosophy of Coaching</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Physical Education/Health</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STAT-243Z</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Elementary Statistics I</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Computation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WR-101</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Workplace Writing</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Communication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WR-121Z</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Composition I</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Communication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WR-122Z</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Composition II</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Communication</w:t>
            </w:r>
          </w:p>
        </w:tc>
      </w:tr>
      <w:tr w:rsidR="00316E03" w:rsidRPr="00B6431D" w:rsidTr="00B916F7">
        <w:trPr>
          <w:trHeight w:hRule="exact" w:val="274"/>
        </w:trPr>
        <w:tc>
          <w:tcPr>
            <w:tcW w:w="1795" w:type="dxa"/>
            <w:shd w:val="clear" w:color="auto" w:fill="auto"/>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WR-227Z</w:t>
            </w:r>
          </w:p>
        </w:tc>
        <w:tc>
          <w:tcPr>
            <w:tcW w:w="4410"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Technical Writing</w:t>
            </w:r>
          </w:p>
        </w:tc>
        <w:tc>
          <w:tcPr>
            <w:tcW w:w="3241" w:type="dxa"/>
            <w:vAlign w:val="bottom"/>
          </w:tcPr>
          <w:p w:rsidR="00316E03" w:rsidRPr="00B6431D" w:rsidRDefault="00316E03" w:rsidP="00B916F7">
            <w:pPr>
              <w:rPr>
                <w:rFonts w:ascii="Arial" w:hAnsi="Arial" w:cs="Arial"/>
                <w:color w:val="000000" w:themeColor="text1"/>
                <w:sz w:val="20"/>
                <w:szCs w:val="20"/>
              </w:rPr>
            </w:pPr>
            <w:r w:rsidRPr="00B6431D">
              <w:rPr>
                <w:rFonts w:ascii="Arial" w:hAnsi="Arial" w:cs="Arial"/>
                <w:color w:val="000000" w:themeColor="text1"/>
                <w:sz w:val="20"/>
                <w:szCs w:val="20"/>
              </w:rPr>
              <w:t>Communication</w:t>
            </w:r>
          </w:p>
        </w:tc>
      </w:tr>
    </w:tbl>
    <w:p w:rsidR="00B91CCB" w:rsidRPr="00B91CCB" w:rsidRDefault="00B91CCB" w:rsidP="00B91CCB">
      <w:pPr>
        <w:rPr>
          <w:rFonts w:ascii="Arial" w:hAnsi="Arial" w:cs="Arial"/>
          <w:b/>
          <w:sz w:val="20"/>
        </w:rPr>
      </w:pPr>
    </w:p>
    <w:p w:rsid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B91CCB" w:rsidRPr="00EA721E" w:rsidRDefault="00B91CCB" w:rsidP="00EA721E">
      <w:pPr>
        <w:pStyle w:val="ListParagraph"/>
        <w:ind w:left="360"/>
        <w:rPr>
          <w:rFonts w:ascii="Arial" w:hAnsi="Arial" w:cs="Arial"/>
          <w:i/>
          <w:sz w:val="20"/>
        </w:rPr>
      </w:pPr>
    </w:p>
    <w:p w:rsidR="00EA721E" w:rsidRDefault="00EA721E" w:rsidP="00EA721E">
      <w:pPr>
        <w:pStyle w:val="ListParagraph"/>
        <w:numPr>
          <w:ilvl w:val="1"/>
          <w:numId w:val="1"/>
        </w:numPr>
        <w:rPr>
          <w:rFonts w:ascii="Arial" w:hAnsi="Arial" w:cs="Arial"/>
          <w:b/>
          <w:sz w:val="20"/>
        </w:rPr>
      </w:pPr>
      <w:r w:rsidRPr="00EA721E">
        <w:rPr>
          <w:rFonts w:ascii="Arial" w:hAnsi="Arial" w:cs="Arial"/>
          <w:b/>
          <w:sz w:val="20"/>
        </w:rPr>
        <w:t>Program Amendments</w:t>
      </w:r>
    </w:p>
    <w:p w:rsidR="00EA721E" w:rsidRDefault="00095B32" w:rsidP="00EA721E">
      <w:pPr>
        <w:pStyle w:val="ListParagraph"/>
        <w:numPr>
          <w:ilvl w:val="2"/>
          <w:numId w:val="1"/>
        </w:numPr>
        <w:rPr>
          <w:rFonts w:ascii="Arial" w:hAnsi="Arial" w:cs="Arial"/>
          <w:sz w:val="20"/>
        </w:rPr>
      </w:pPr>
      <w:proofErr w:type="spellStart"/>
      <w:r w:rsidRPr="00095B32">
        <w:rPr>
          <w:rFonts w:ascii="Arial" w:hAnsi="Arial" w:cs="Arial"/>
          <w:sz w:val="20"/>
        </w:rPr>
        <w:t>Educación</w:t>
      </w:r>
      <w:proofErr w:type="spellEnd"/>
      <w:r w:rsidRPr="00095B32">
        <w:rPr>
          <w:rFonts w:ascii="Arial" w:hAnsi="Arial" w:cs="Arial"/>
          <w:sz w:val="20"/>
        </w:rPr>
        <w:t xml:space="preserve"> </w:t>
      </w:r>
      <w:proofErr w:type="spellStart"/>
      <w:r w:rsidRPr="00095B32">
        <w:rPr>
          <w:rFonts w:ascii="Arial" w:hAnsi="Arial" w:cs="Arial"/>
          <w:sz w:val="20"/>
        </w:rPr>
        <w:t>infantil</w:t>
      </w:r>
      <w:proofErr w:type="spellEnd"/>
      <w:r w:rsidRPr="00095B32">
        <w:rPr>
          <w:rFonts w:ascii="Arial" w:hAnsi="Arial" w:cs="Arial"/>
          <w:sz w:val="20"/>
        </w:rPr>
        <w:t xml:space="preserve"> y </w:t>
      </w:r>
      <w:proofErr w:type="spellStart"/>
      <w:r w:rsidRPr="00095B32">
        <w:rPr>
          <w:rFonts w:ascii="Arial" w:hAnsi="Arial" w:cs="Arial"/>
          <w:sz w:val="20"/>
        </w:rPr>
        <w:t>estudios</w:t>
      </w:r>
      <w:proofErr w:type="spellEnd"/>
      <w:r w:rsidRPr="00095B32">
        <w:rPr>
          <w:rFonts w:ascii="Arial" w:hAnsi="Arial" w:cs="Arial"/>
          <w:sz w:val="20"/>
        </w:rPr>
        <w:t xml:space="preserve"> </w:t>
      </w:r>
      <w:proofErr w:type="spellStart"/>
      <w:r w:rsidRPr="00095B32">
        <w:rPr>
          <w:rFonts w:ascii="Arial" w:hAnsi="Arial" w:cs="Arial"/>
          <w:sz w:val="20"/>
        </w:rPr>
        <w:t>familiares</w:t>
      </w:r>
      <w:proofErr w:type="spellEnd"/>
      <w:r w:rsidRPr="00095B32">
        <w:rPr>
          <w:rFonts w:ascii="Arial" w:hAnsi="Arial" w:cs="Arial"/>
          <w:sz w:val="20"/>
        </w:rPr>
        <w:t xml:space="preserve"> AAS</w:t>
      </w:r>
      <w:r w:rsidR="00E3066E">
        <w:rPr>
          <w:rFonts w:ascii="Arial" w:hAnsi="Arial" w:cs="Arial"/>
          <w:sz w:val="20"/>
        </w:rPr>
        <w:t xml:space="preserve"> &amp;CC</w:t>
      </w:r>
    </w:p>
    <w:p w:rsidR="00095B32" w:rsidRDefault="00095B32" w:rsidP="00095B32">
      <w:pPr>
        <w:pStyle w:val="ListParagraph"/>
        <w:numPr>
          <w:ilvl w:val="3"/>
          <w:numId w:val="1"/>
        </w:numPr>
        <w:rPr>
          <w:rFonts w:ascii="Arial" w:hAnsi="Arial" w:cs="Arial"/>
          <w:sz w:val="20"/>
        </w:rPr>
      </w:pPr>
      <w:r>
        <w:rPr>
          <w:rFonts w:ascii="Arial" w:hAnsi="Arial" w:cs="Arial"/>
          <w:sz w:val="20"/>
        </w:rPr>
        <w:t xml:space="preserve">Dawn Hendricks presented. </w:t>
      </w:r>
    </w:p>
    <w:p w:rsidR="00E3066E" w:rsidRDefault="00095B32" w:rsidP="00E3066E">
      <w:pPr>
        <w:pStyle w:val="ListParagraph"/>
        <w:numPr>
          <w:ilvl w:val="3"/>
          <w:numId w:val="1"/>
        </w:numPr>
        <w:rPr>
          <w:rFonts w:ascii="Arial" w:hAnsi="Arial" w:cs="Arial"/>
          <w:sz w:val="20"/>
        </w:rPr>
      </w:pPr>
      <w:r>
        <w:rPr>
          <w:rFonts w:ascii="Arial" w:hAnsi="Arial" w:cs="Arial"/>
          <w:sz w:val="20"/>
        </w:rPr>
        <w:t>ECE-179ES and ECE-246ES swapping terms. Adding note that courses must be passed with a C or better</w:t>
      </w:r>
    </w:p>
    <w:p w:rsidR="00E3066E" w:rsidRPr="00E3066E" w:rsidRDefault="00E3066E" w:rsidP="00E3066E">
      <w:pPr>
        <w:pStyle w:val="ListParagraph"/>
        <w:numPr>
          <w:ilvl w:val="2"/>
          <w:numId w:val="1"/>
        </w:numPr>
        <w:rPr>
          <w:rFonts w:ascii="Arial" w:hAnsi="Arial" w:cs="Arial"/>
          <w:sz w:val="20"/>
        </w:rPr>
      </w:pPr>
      <w:r w:rsidRPr="00E3066E">
        <w:rPr>
          <w:rFonts w:ascii="Arial" w:hAnsi="Arial" w:cs="Arial"/>
          <w:sz w:val="20"/>
        </w:rPr>
        <w:lastRenderedPageBreak/>
        <w:t>Early Childhood Education &amp; Family Studies AAS &amp; CC</w:t>
      </w:r>
    </w:p>
    <w:p w:rsidR="00095B32" w:rsidRDefault="00095B32" w:rsidP="00095B32">
      <w:pPr>
        <w:pStyle w:val="ListParagraph"/>
        <w:numPr>
          <w:ilvl w:val="3"/>
          <w:numId w:val="1"/>
        </w:numPr>
        <w:rPr>
          <w:rFonts w:ascii="Arial" w:hAnsi="Arial" w:cs="Arial"/>
          <w:sz w:val="20"/>
        </w:rPr>
      </w:pPr>
      <w:r>
        <w:rPr>
          <w:rFonts w:ascii="Arial" w:hAnsi="Arial" w:cs="Arial"/>
          <w:sz w:val="20"/>
        </w:rPr>
        <w:t xml:space="preserve">Dawn Hendricks presented. </w:t>
      </w:r>
    </w:p>
    <w:p w:rsidR="00095B32" w:rsidRDefault="00C36080" w:rsidP="00095B32">
      <w:pPr>
        <w:pStyle w:val="ListParagraph"/>
        <w:numPr>
          <w:ilvl w:val="3"/>
          <w:numId w:val="1"/>
        </w:numPr>
        <w:rPr>
          <w:rFonts w:ascii="Arial" w:hAnsi="Arial" w:cs="Arial"/>
          <w:sz w:val="20"/>
        </w:rPr>
      </w:pPr>
      <w:r>
        <w:rPr>
          <w:rFonts w:ascii="Arial" w:hAnsi="Arial" w:cs="Arial"/>
          <w:sz w:val="20"/>
        </w:rPr>
        <w:t xml:space="preserve">Adding </w:t>
      </w:r>
      <w:r w:rsidR="00095B32">
        <w:rPr>
          <w:rFonts w:ascii="Arial" w:hAnsi="Arial" w:cs="Arial"/>
          <w:sz w:val="20"/>
        </w:rPr>
        <w:t>note that courses must be passed with a C or better</w:t>
      </w:r>
    </w:p>
    <w:p w:rsidR="00CB5B24" w:rsidRPr="00B91CCB" w:rsidRDefault="00095B32" w:rsidP="00B91CCB">
      <w:pPr>
        <w:pStyle w:val="ListParagraph"/>
        <w:ind w:left="360"/>
        <w:rPr>
          <w:rFonts w:ascii="Arial" w:hAnsi="Arial" w:cs="Arial"/>
          <w:i/>
          <w:sz w:val="20"/>
        </w:rPr>
      </w:pPr>
      <w:r w:rsidRPr="00EA721E">
        <w:rPr>
          <w:rFonts w:ascii="Arial" w:hAnsi="Arial" w:cs="Arial"/>
          <w:i/>
          <w:sz w:val="20"/>
        </w:rPr>
        <w:t>Motion to approve, approved</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B91CCB" w:rsidRPr="001855B3" w:rsidRDefault="00B91CCB" w:rsidP="00B91CCB">
      <w:pPr>
        <w:pStyle w:val="ListParagraph"/>
        <w:numPr>
          <w:ilvl w:val="1"/>
          <w:numId w:val="1"/>
        </w:numPr>
        <w:rPr>
          <w:rFonts w:ascii="Arial" w:hAnsi="Arial" w:cs="Arial"/>
          <w:sz w:val="20"/>
        </w:rPr>
      </w:pPr>
      <w:r w:rsidRPr="001855B3">
        <w:rPr>
          <w:rFonts w:ascii="Arial" w:hAnsi="Arial" w:cs="Arial"/>
          <w:sz w:val="20"/>
        </w:rPr>
        <w:t>CourseLeaf updates</w:t>
      </w:r>
    </w:p>
    <w:p w:rsidR="00B91CCB" w:rsidRDefault="00B91CCB" w:rsidP="00B91CCB">
      <w:pPr>
        <w:pStyle w:val="ListParagraph"/>
        <w:numPr>
          <w:ilvl w:val="2"/>
          <w:numId w:val="1"/>
        </w:numPr>
        <w:rPr>
          <w:rFonts w:ascii="Arial" w:hAnsi="Arial" w:cs="Arial"/>
          <w:sz w:val="20"/>
        </w:rPr>
      </w:pPr>
      <w:r>
        <w:rPr>
          <w:rFonts w:ascii="Arial" w:hAnsi="Arial" w:cs="Arial"/>
          <w:sz w:val="20"/>
        </w:rPr>
        <w:t>Curriculum Office presented</w:t>
      </w:r>
    </w:p>
    <w:p w:rsidR="00F2584D" w:rsidRPr="00F2584D" w:rsidRDefault="00F2584D" w:rsidP="00F2584D">
      <w:pPr>
        <w:pStyle w:val="ListParagraph"/>
        <w:numPr>
          <w:ilvl w:val="2"/>
          <w:numId w:val="1"/>
        </w:numPr>
        <w:rPr>
          <w:rFonts w:ascii="Arial" w:hAnsi="Arial" w:cs="Arial"/>
          <w:sz w:val="20"/>
        </w:rPr>
      </w:pPr>
      <w:r>
        <w:rPr>
          <w:rFonts w:ascii="Arial" w:hAnsi="Arial" w:cs="Arial"/>
          <w:sz w:val="20"/>
        </w:rPr>
        <w:t>There will be messaging on the Outline Submission System soon alerting folks that we are phasing out that system.</w:t>
      </w:r>
    </w:p>
    <w:p w:rsidR="001855B3" w:rsidRDefault="001855B3" w:rsidP="001855B3">
      <w:pPr>
        <w:pStyle w:val="ListParagraph"/>
        <w:numPr>
          <w:ilvl w:val="2"/>
          <w:numId w:val="1"/>
        </w:numPr>
        <w:rPr>
          <w:rFonts w:ascii="Arial" w:hAnsi="Arial" w:cs="Arial"/>
          <w:sz w:val="20"/>
        </w:rPr>
      </w:pPr>
      <w:r w:rsidRPr="001855B3">
        <w:rPr>
          <w:rFonts w:ascii="Arial" w:hAnsi="Arial" w:cs="Arial"/>
          <w:sz w:val="20"/>
        </w:rPr>
        <w:t>Where to put links to new course inventory management on Curriculum Committee webpage</w:t>
      </w:r>
      <w:r w:rsidR="00B91CCB">
        <w:rPr>
          <w:rFonts w:ascii="Arial" w:hAnsi="Arial" w:cs="Arial"/>
          <w:sz w:val="20"/>
        </w:rPr>
        <w:t>?</w:t>
      </w:r>
    </w:p>
    <w:p w:rsidR="00F2584D" w:rsidRDefault="00F2584D" w:rsidP="00F2584D">
      <w:pPr>
        <w:pStyle w:val="ListParagraph"/>
        <w:numPr>
          <w:ilvl w:val="3"/>
          <w:numId w:val="1"/>
        </w:numPr>
        <w:rPr>
          <w:rFonts w:ascii="Arial" w:hAnsi="Arial" w:cs="Arial"/>
          <w:sz w:val="20"/>
        </w:rPr>
      </w:pPr>
      <w:r>
        <w:rPr>
          <w:rFonts w:ascii="Arial" w:hAnsi="Arial" w:cs="Arial"/>
          <w:sz w:val="20"/>
        </w:rPr>
        <w:t xml:space="preserve">Above Process Documentation on the </w:t>
      </w:r>
      <w:proofErr w:type="spellStart"/>
      <w:r>
        <w:rPr>
          <w:rFonts w:ascii="Arial" w:hAnsi="Arial" w:cs="Arial"/>
          <w:sz w:val="20"/>
        </w:rPr>
        <w:t>lefthand</w:t>
      </w:r>
      <w:proofErr w:type="spellEnd"/>
      <w:r>
        <w:rPr>
          <w:rFonts w:ascii="Arial" w:hAnsi="Arial" w:cs="Arial"/>
          <w:sz w:val="20"/>
        </w:rPr>
        <w:t xml:space="preserve"> side in the grey box</w:t>
      </w:r>
    </w:p>
    <w:p w:rsidR="00ED0A36" w:rsidRDefault="00ED0A36" w:rsidP="00F2584D">
      <w:pPr>
        <w:pStyle w:val="ListParagraph"/>
        <w:numPr>
          <w:ilvl w:val="3"/>
          <w:numId w:val="1"/>
        </w:numPr>
        <w:rPr>
          <w:rFonts w:ascii="Arial" w:hAnsi="Arial" w:cs="Arial"/>
          <w:sz w:val="20"/>
        </w:rPr>
      </w:pPr>
      <w:r>
        <w:rPr>
          <w:rFonts w:ascii="Arial" w:hAnsi="Arial" w:cs="Arial"/>
          <w:sz w:val="20"/>
        </w:rPr>
        <w:t xml:space="preserve">Could it be in </w:t>
      </w:r>
      <w:proofErr w:type="spellStart"/>
      <w:r>
        <w:rPr>
          <w:rFonts w:ascii="Arial" w:hAnsi="Arial" w:cs="Arial"/>
          <w:sz w:val="20"/>
        </w:rPr>
        <w:t>myclackamas</w:t>
      </w:r>
      <w:proofErr w:type="spellEnd"/>
      <w:r>
        <w:rPr>
          <w:rFonts w:ascii="Arial" w:hAnsi="Arial" w:cs="Arial"/>
          <w:sz w:val="20"/>
        </w:rPr>
        <w:t>?</w:t>
      </w:r>
    </w:p>
    <w:p w:rsidR="00B91CCB" w:rsidRDefault="00B91CCB" w:rsidP="00B91CCB">
      <w:pPr>
        <w:pStyle w:val="ListParagraph"/>
        <w:numPr>
          <w:ilvl w:val="1"/>
          <w:numId w:val="1"/>
        </w:numPr>
        <w:rPr>
          <w:rFonts w:ascii="Arial" w:hAnsi="Arial" w:cs="Arial"/>
          <w:sz w:val="20"/>
        </w:rPr>
      </w:pPr>
      <w:r w:rsidRPr="00B91CCB">
        <w:rPr>
          <w:rFonts w:ascii="Arial" w:hAnsi="Arial" w:cs="Arial"/>
          <w:sz w:val="20"/>
        </w:rPr>
        <w:t>Writing and Reviewing Student Learning Outcomes</w:t>
      </w:r>
    </w:p>
    <w:p w:rsidR="00B91CCB" w:rsidRDefault="00B91CCB" w:rsidP="00B91CCB">
      <w:pPr>
        <w:pStyle w:val="ListParagraph"/>
        <w:numPr>
          <w:ilvl w:val="2"/>
          <w:numId w:val="1"/>
        </w:numPr>
        <w:rPr>
          <w:rFonts w:ascii="Arial" w:hAnsi="Arial" w:cs="Arial"/>
          <w:sz w:val="20"/>
        </w:rPr>
      </w:pPr>
      <w:r>
        <w:rPr>
          <w:rFonts w:ascii="Arial" w:hAnsi="Arial" w:cs="Arial"/>
          <w:sz w:val="20"/>
        </w:rPr>
        <w:t>Elizabeth Carney presented</w:t>
      </w:r>
    </w:p>
    <w:p w:rsidR="00B91CCB" w:rsidRDefault="00B91CCB" w:rsidP="00B91CCB">
      <w:pPr>
        <w:pStyle w:val="ListParagraph"/>
        <w:numPr>
          <w:ilvl w:val="2"/>
          <w:numId w:val="1"/>
        </w:numPr>
        <w:rPr>
          <w:rFonts w:ascii="Arial" w:hAnsi="Arial" w:cs="Arial"/>
          <w:sz w:val="20"/>
        </w:rPr>
      </w:pPr>
      <w:r>
        <w:rPr>
          <w:rFonts w:ascii="Arial" w:hAnsi="Arial" w:cs="Arial"/>
          <w:sz w:val="20"/>
        </w:rPr>
        <w:t>Continuing conversation from 3/17/23 meeting</w:t>
      </w:r>
    </w:p>
    <w:p w:rsidR="009109ED" w:rsidRDefault="001E11C0" w:rsidP="00B91CCB">
      <w:pPr>
        <w:pStyle w:val="ListParagraph"/>
        <w:numPr>
          <w:ilvl w:val="2"/>
          <w:numId w:val="1"/>
        </w:numPr>
        <w:rPr>
          <w:rFonts w:ascii="Arial" w:hAnsi="Arial" w:cs="Arial"/>
          <w:sz w:val="20"/>
        </w:rPr>
      </w:pPr>
      <w:hyperlink r:id="rId7" w:anchor="slide=id.p" w:history="1">
        <w:r w:rsidR="009109ED" w:rsidRPr="00E25BD5">
          <w:rPr>
            <w:rStyle w:val="Hyperlink"/>
            <w:rFonts w:ascii="Arial" w:hAnsi="Arial" w:cs="Arial"/>
            <w:sz w:val="20"/>
          </w:rPr>
          <w:t>https://docs.google.com/presentation/d/1YqnilAtRjjM1Zcn0krL-RJc_bg2MYrmFm2PTPanYxPY/edit#slide=id.p</w:t>
        </w:r>
      </w:hyperlink>
    </w:p>
    <w:p w:rsidR="009109ED" w:rsidRDefault="004E4462" w:rsidP="00B91CCB">
      <w:pPr>
        <w:pStyle w:val="ListParagraph"/>
        <w:numPr>
          <w:ilvl w:val="2"/>
          <w:numId w:val="1"/>
        </w:numPr>
        <w:rPr>
          <w:rFonts w:ascii="Arial" w:hAnsi="Arial" w:cs="Arial"/>
          <w:sz w:val="20"/>
        </w:rPr>
      </w:pPr>
      <w:r>
        <w:rPr>
          <w:rFonts w:ascii="Arial" w:hAnsi="Arial" w:cs="Arial"/>
          <w:sz w:val="20"/>
        </w:rPr>
        <w:t xml:space="preserve">Next steps: training for new Curriculum Committee members, </w:t>
      </w:r>
    </w:p>
    <w:p w:rsidR="004E4462" w:rsidRDefault="004E4462" w:rsidP="00B91CCB">
      <w:pPr>
        <w:pStyle w:val="ListParagraph"/>
        <w:numPr>
          <w:ilvl w:val="2"/>
          <w:numId w:val="1"/>
        </w:numPr>
        <w:rPr>
          <w:rFonts w:ascii="Arial" w:hAnsi="Arial" w:cs="Arial"/>
          <w:sz w:val="20"/>
        </w:rPr>
      </w:pPr>
      <w:r>
        <w:rPr>
          <w:rFonts w:ascii="Arial" w:hAnsi="Arial" w:cs="Arial"/>
          <w:sz w:val="20"/>
        </w:rPr>
        <w:t>Should Committee approve this proposed framework so that the Guidebook is in alignment with First Year Faculty</w:t>
      </w:r>
    </w:p>
    <w:p w:rsidR="004E4462" w:rsidRDefault="00675DDF" w:rsidP="00B91CCB">
      <w:pPr>
        <w:pStyle w:val="ListParagraph"/>
        <w:numPr>
          <w:ilvl w:val="2"/>
          <w:numId w:val="1"/>
        </w:numPr>
        <w:rPr>
          <w:rFonts w:ascii="Arial" w:hAnsi="Arial" w:cs="Arial"/>
          <w:sz w:val="20"/>
        </w:rPr>
      </w:pPr>
      <w:r>
        <w:rPr>
          <w:rFonts w:ascii="Arial" w:hAnsi="Arial" w:cs="Arial"/>
          <w:sz w:val="20"/>
        </w:rPr>
        <w:t>V</w:t>
      </w:r>
      <w:r w:rsidR="004E4462">
        <w:rPr>
          <w:rFonts w:ascii="Arial" w:hAnsi="Arial" w:cs="Arial"/>
          <w:sz w:val="20"/>
        </w:rPr>
        <w:t>ote on the framework</w:t>
      </w:r>
      <w:r>
        <w:rPr>
          <w:rFonts w:ascii="Arial" w:hAnsi="Arial" w:cs="Arial"/>
          <w:sz w:val="20"/>
        </w:rPr>
        <w:t xml:space="preserve"> next meeting</w:t>
      </w:r>
    </w:p>
    <w:p w:rsidR="00675DDF" w:rsidRPr="001855B3" w:rsidRDefault="00675DDF" w:rsidP="00675DDF">
      <w:pPr>
        <w:pStyle w:val="ListParagraph"/>
        <w:ind w:left="1440"/>
        <w:rPr>
          <w:rFonts w:ascii="Arial" w:hAnsi="Arial" w:cs="Arial"/>
          <w:sz w:val="20"/>
        </w:rPr>
      </w:pP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6D67DD" w:rsidP="00944AEC">
      <w:pPr>
        <w:pStyle w:val="ListParagraph"/>
        <w:numPr>
          <w:ilvl w:val="1"/>
          <w:numId w:val="1"/>
        </w:numPr>
        <w:rPr>
          <w:rFonts w:ascii="Arial" w:hAnsi="Arial" w:cs="Arial"/>
          <w:b/>
          <w:sz w:val="20"/>
        </w:rPr>
      </w:pPr>
      <w:r>
        <w:rPr>
          <w:rFonts w:ascii="Arial" w:hAnsi="Arial" w:cs="Arial"/>
          <w:b/>
          <w:sz w:val="20"/>
        </w:rPr>
        <w:t>Curriculum Committee Membership 23-24</w:t>
      </w:r>
    </w:p>
    <w:p w:rsidR="006D67DD" w:rsidRDefault="006D67DD" w:rsidP="006D67DD">
      <w:pPr>
        <w:pStyle w:val="ListParagraph"/>
        <w:numPr>
          <w:ilvl w:val="2"/>
          <w:numId w:val="1"/>
        </w:numPr>
        <w:rPr>
          <w:rFonts w:ascii="Arial" w:hAnsi="Arial" w:cs="Arial"/>
          <w:sz w:val="20"/>
        </w:rPr>
      </w:pPr>
      <w:r w:rsidRPr="006D67DD">
        <w:rPr>
          <w:rFonts w:ascii="Arial" w:hAnsi="Arial" w:cs="Arial"/>
          <w:sz w:val="20"/>
        </w:rPr>
        <w:t>Deans are responsible for filling vacancies in their areas</w:t>
      </w:r>
    </w:p>
    <w:p w:rsidR="003C447C" w:rsidRPr="006D67DD" w:rsidRDefault="0086289C" w:rsidP="006D67DD">
      <w:pPr>
        <w:pStyle w:val="ListParagraph"/>
        <w:numPr>
          <w:ilvl w:val="2"/>
          <w:numId w:val="1"/>
        </w:numPr>
        <w:rPr>
          <w:rFonts w:ascii="Arial" w:hAnsi="Arial" w:cs="Arial"/>
          <w:sz w:val="20"/>
        </w:rPr>
      </w:pPr>
      <w:r>
        <w:rPr>
          <w:rFonts w:ascii="Arial" w:hAnsi="Arial" w:cs="Arial"/>
          <w:sz w:val="20"/>
        </w:rPr>
        <w:t>Dustin</w:t>
      </w:r>
      <w:r w:rsidR="001E11C0">
        <w:rPr>
          <w:rFonts w:ascii="Arial" w:hAnsi="Arial" w:cs="Arial"/>
          <w:sz w:val="20"/>
        </w:rPr>
        <w:t xml:space="preserve"> and</w:t>
      </w:r>
      <w:r w:rsidR="00C27966">
        <w:rPr>
          <w:rFonts w:ascii="Arial" w:hAnsi="Arial" w:cs="Arial"/>
          <w:sz w:val="20"/>
        </w:rPr>
        <w:t xml:space="preserve"> </w:t>
      </w:r>
      <w:r>
        <w:rPr>
          <w:rFonts w:ascii="Arial" w:hAnsi="Arial" w:cs="Arial"/>
          <w:sz w:val="20"/>
        </w:rPr>
        <w:t>Kara will re-up</w:t>
      </w:r>
      <w:bookmarkStart w:id="1" w:name="_GoBack"/>
      <w:bookmarkEnd w:id="1"/>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8A5377">
              <w:rPr>
                <w:rFonts w:ascii="Arial" w:hAnsi="Arial" w:cs="Arial"/>
                <w:b/>
              </w:rPr>
              <w:t>May 5</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4494"/>
    <w:rsid w:val="0006019C"/>
    <w:rsid w:val="00095B32"/>
    <w:rsid w:val="000A2735"/>
    <w:rsid w:val="000C1504"/>
    <w:rsid w:val="00111949"/>
    <w:rsid w:val="00122B52"/>
    <w:rsid w:val="00130FF7"/>
    <w:rsid w:val="001326D7"/>
    <w:rsid w:val="001430BF"/>
    <w:rsid w:val="001855B3"/>
    <w:rsid w:val="001D7331"/>
    <w:rsid w:val="001E11C0"/>
    <w:rsid w:val="00200289"/>
    <w:rsid w:val="002204C8"/>
    <w:rsid w:val="00232179"/>
    <w:rsid w:val="002332B0"/>
    <w:rsid w:val="00241A94"/>
    <w:rsid w:val="00245663"/>
    <w:rsid w:val="002534BC"/>
    <w:rsid w:val="00295A56"/>
    <w:rsid w:val="00316E03"/>
    <w:rsid w:val="00332E11"/>
    <w:rsid w:val="0033326D"/>
    <w:rsid w:val="00334C55"/>
    <w:rsid w:val="00344EE8"/>
    <w:rsid w:val="00345C13"/>
    <w:rsid w:val="003851AC"/>
    <w:rsid w:val="003B77B5"/>
    <w:rsid w:val="003B78B8"/>
    <w:rsid w:val="003C447C"/>
    <w:rsid w:val="0041117A"/>
    <w:rsid w:val="0044720D"/>
    <w:rsid w:val="0045398E"/>
    <w:rsid w:val="004674B9"/>
    <w:rsid w:val="00490B10"/>
    <w:rsid w:val="004D599E"/>
    <w:rsid w:val="004D7D2F"/>
    <w:rsid w:val="004E3B8F"/>
    <w:rsid w:val="004E4462"/>
    <w:rsid w:val="004F4E44"/>
    <w:rsid w:val="00523787"/>
    <w:rsid w:val="005A4A35"/>
    <w:rsid w:val="005F458C"/>
    <w:rsid w:val="00623384"/>
    <w:rsid w:val="00623EF7"/>
    <w:rsid w:val="006615AF"/>
    <w:rsid w:val="00662832"/>
    <w:rsid w:val="00675DDF"/>
    <w:rsid w:val="006C749E"/>
    <w:rsid w:val="006D67DD"/>
    <w:rsid w:val="006F0E69"/>
    <w:rsid w:val="00720800"/>
    <w:rsid w:val="007372CF"/>
    <w:rsid w:val="007A2BDE"/>
    <w:rsid w:val="007A310B"/>
    <w:rsid w:val="007D2930"/>
    <w:rsid w:val="007E5ECD"/>
    <w:rsid w:val="007F40F8"/>
    <w:rsid w:val="0080784C"/>
    <w:rsid w:val="0082436D"/>
    <w:rsid w:val="0086289C"/>
    <w:rsid w:val="00883070"/>
    <w:rsid w:val="0089191D"/>
    <w:rsid w:val="008A5377"/>
    <w:rsid w:val="008A68A8"/>
    <w:rsid w:val="008E0AE1"/>
    <w:rsid w:val="0090318D"/>
    <w:rsid w:val="009109ED"/>
    <w:rsid w:val="00944AEC"/>
    <w:rsid w:val="009615FD"/>
    <w:rsid w:val="00970554"/>
    <w:rsid w:val="009826B5"/>
    <w:rsid w:val="009A39D8"/>
    <w:rsid w:val="009C7343"/>
    <w:rsid w:val="009E016D"/>
    <w:rsid w:val="009E0C7D"/>
    <w:rsid w:val="00A475DA"/>
    <w:rsid w:val="00A8393A"/>
    <w:rsid w:val="00A95B15"/>
    <w:rsid w:val="00B029EB"/>
    <w:rsid w:val="00B10771"/>
    <w:rsid w:val="00B15799"/>
    <w:rsid w:val="00B21C28"/>
    <w:rsid w:val="00B429AD"/>
    <w:rsid w:val="00B5503D"/>
    <w:rsid w:val="00B72F24"/>
    <w:rsid w:val="00B91CCB"/>
    <w:rsid w:val="00BB13BB"/>
    <w:rsid w:val="00BB5B5C"/>
    <w:rsid w:val="00BB6576"/>
    <w:rsid w:val="00BE3A60"/>
    <w:rsid w:val="00C006BA"/>
    <w:rsid w:val="00C25075"/>
    <w:rsid w:val="00C27966"/>
    <w:rsid w:val="00C31B8A"/>
    <w:rsid w:val="00C32433"/>
    <w:rsid w:val="00C36080"/>
    <w:rsid w:val="00C454F0"/>
    <w:rsid w:val="00C60127"/>
    <w:rsid w:val="00C73970"/>
    <w:rsid w:val="00C765DC"/>
    <w:rsid w:val="00C915F8"/>
    <w:rsid w:val="00C92F23"/>
    <w:rsid w:val="00CA03E4"/>
    <w:rsid w:val="00CA4EEA"/>
    <w:rsid w:val="00CB5B24"/>
    <w:rsid w:val="00CE24BC"/>
    <w:rsid w:val="00CF7012"/>
    <w:rsid w:val="00D02BDA"/>
    <w:rsid w:val="00D3305B"/>
    <w:rsid w:val="00D3371F"/>
    <w:rsid w:val="00D82E21"/>
    <w:rsid w:val="00D854BD"/>
    <w:rsid w:val="00DD2F4F"/>
    <w:rsid w:val="00DD7BD3"/>
    <w:rsid w:val="00DF1030"/>
    <w:rsid w:val="00DF4488"/>
    <w:rsid w:val="00E02E9A"/>
    <w:rsid w:val="00E3066E"/>
    <w:rsid w:val="00E4103D"/>
    <w:rsid w:val="00E43D2F"/>
    <w:rsid w:val="00E57977"/>
    <w:rsid w:val="00E7022F"/>
    <w:rsid w:val="00E73E7C"/>
    <w:rsid w:val="00E76B72"/>
    <w:rsid w:val="00E91856"/>
    <w:rsid w:val="00E9662D"/>
    <w:rsid w:val="00E9736C"/>
    <w:rsid w:val="00EA721E"/>
    <w:rsid w:val="00EC0D62"/>
    <w:rsid w:val="00ED092E"/>
    <w:rsid w:val="00ED0A36"/>
    <w:rsid w:val="00EE20F9"/>
    <w:rsid w:val="00F04CD7"/>
    <w:rsid w:val="00F2584D"/>
    <w:rsid w:val="00F60624"/>
    <w:rsid w:val="00F947B1"/>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5410"/>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 w:type="character" w:styleId="Hyperlink">
    <w:name w:val="Hyperlink"/>
    <w:basedOn w:val="DefaultParagraphFont"/>
    <w:uiPriority w:val="99"/>
    <w:unhideWhenUsed/>
    <w:rsid w:val="009109ED"/>
    <w:rPr>
      <w:color w:val="0563C1" w:themeColor="hyperlink"/>
      <w:u w:val="single"/>
    </w:rPr>
  </w:style>
  <w:style w:type="character" w:styleId="UnresolvedMention">
    <w:name w:val="Unresolved Mention"/>
    <w:basedOn w:val="DefaultParagraphFont"/>
    <w:uiPriority w:val="99"/>
    <w:semiHidden/>
    <w:unhideWhenUsed/>
    <w:rsid w:val="009109ED"/>
    <w:rPr>
      <w:color w:val="605E5C"/>
      <w:shd w:val="clear" w:color="auto" w:fill="E1DFDD"/>
    </w:rPr>
  </w:style>
  <w:style w:type="character" w:styleId="FollowedHyperlink">
    <w:name w:val="FollowedHyperlink"/>
    <w:basedOn w:val="DefaultParagraphFont"/>
    <w:uiPriority w:val="99"/>
    <w:semiHidden/>
    <w:unhideWhenUsed/>
    <w:rsid w:val="00910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YqnilAtRjjM1Zcn0krL-RJc_bg2MYrmFm2PTPanYxPY/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72</cp:revision>
  <dcterms:created xsi:type="dcterms:W3CDTF">2021-09-02T16:50:00Z</dcterms:created>
  <dcterms:modified xsi:type="dcterms:W3CDTF">2023-04-21T16:15:00Z</dcterms:modified>
</cp:coreProperties>
</file>